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BB9" w:rsidRPr="00130BB9" w:rsidRDefault="00130BB9" w:rsidP="00130BB9">
      <w:pPr>
        <w:rPr>
          <w:rFonts w:eastAsia="Calibri"/>
        </w:rPr>
      </w:pPr>
    </w:p>
    <w:p w:rsidR="00130BB9" w:rsidRPr="00130BB9" w:rsidRDefault="00130BB9" w:rsidP="00130BB9">
      <w:pPr>
        <w:jc w:val="center"/>
        <w:rPr>
          <w:b/>
          <w:bCs/>
        </w:rPr>
      </w:pPr>
      <w:r w:rsidRPr="00130BB9">
        <w:rPr>
          <w:b/>
          <w:bCs/>
        </w:rPr>
        <w:t>МИНИСТЕРСТВО КУЛЬТУРЫ РОССИЙСКОЙ ФЕДЕРАЦИИ</w:t>
      </w:r>
    </w:p>
    <w:p w:rsidR="00130BB9" w:rsidRPr="00130BB9" w:rsidRDefault="00130BB9" w:rsidP="00130BB9">
      <w:pPr>
        <w:jc w:val="center"/>
        <w:rPr>
          <w:b/>
          <w:bCs/>
        </w:rPr>
      </w:pPr>
      <w:r w:rsidRPr="00130BB9">
        <w:rPr>
          <w:b/>
          <w:bCs/>
        </w:rPr>
        <w:t>ФЕДЕРАЛЬНОЕ ГОСУДАРСТВЕННОЕ БЮДЖЕТНОЕ ОБРАЗОВАТЕЛЬНОЕ УЧРЕЖДЕНИЕ ВЫСШЕГО ОБРАЗОВАНИЯ</w:t>
      </w:r>
    </w:p>
    <w:p w:rsidR="00130BB9" w:rsidRPr="00130BB9" w:rsidRDefault="00130BB9" w:rsidP="00130BB9">
      <w:pPr>
        <w:jc w:val="center"/>
        <w:rPr>
          <w:b/>
          <w:bCs/>
        </w:rPr>
      </w:pPr>
      <w:r w:rsidRPr="00130BB9">
        <w:rPr>
          <w:b/>
          <w:bCs/>
        </w:rPr>
        <w:t>«МОСКОВСКИЙ ГОСУДАРСТВЕННЫЙ ИНСТИТУТ КУЛЬТУРЫ»</w:t>
      </w:r>
    </w:p>
    <w:p w:rsidR="00130BB9" w:rsidRPr="00130BB9" w:rsidRDefault="00130BB9" w:rsidP="00130BB9">
      <w:pPr>
        <w:jc w:val="center"/>
        <w:rPr>
          <w:b/>
          <w:bCs/>
        </w:rPr>
      </w:pPr>
    </w:p>
    <w:p w:rsidR="00130BB9" w:rsidRPr="00130BB9" w:rsidRDefault="00130BB9" w:rsidP="00130BB9">
      <w:pPr>
        <w:jc w:val="center"/>
        <w:rPr>
          <w:b/>
          <w:bCs/>
        </w:rPr>
      </w:pPr>
    </w:p>
    <w:p w:rsidR="00130BB9" w:rsidRPr="00130BB9" w:rsidRDefault="00130BB9" w:rsidP="00130BB9">
      <w:pPr>
        <w:jc w:val="center"/>
        <w:rPr>
          <w:b/>
          <w:bCs/>
        </w:rPr>
      </w:pPr>
    </w:p>
    <w:p w:rsidR="00130BB9" w:rsidRPr="00130BB9" w:rsidRDefault="00130BB9" w:rsidP="00130BB9">
      <w:pPr>
        <w:jc w:val="center"/>
        <w:rPr>
          <w:b/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right"/>
        <w:rPr>
          <w:b/>
          <w:bCs/>
        </w:rPr>
      </w:pPr>
      <w:r w:rsidRPr="00130BB9">
        <w:rPr>
          <w:b/>
          <w:bCs/>
        </w:rPr>
        <w:t>УТВЕРЖДАЮ:</w:t>
      </w:r>
    </w:p>
    <w:p w:rsidR="00130BB9" w:rsidRPr="00130BB9" w:rsidRDefault="00130BB9" w:rsidP="00130BB9">
      <w:pPr>
        <w:jc w:val="right"/>
        <w:rPr>
          <w:bCs/>
        </w:rPr>
      </w:pPr>
      <w:r w:rsidRPr="00130BB9">
        <w:rPr>
          <w:bCs/>
        </w:rPr>
        <w:t>Председатель учебно-методического совета</w:t>
      </w:r>
    </w:p>
    <w:p w:rsidR="00130BB9" w:rsidRPr="00130BB9" w:rsidRDefault="00130BB9" w:rsidP="00130BB9">
      <w:pPr>
        <w:jc w:val="right"/>
        <w:rPr>
          <w:bCs/>
        </w:rPr>
      </w:pPr>
      <w:r w:rsidRPr="00130BB9">
        <w:rPr>
          <w:bCs/>
        </w:rPr>
        <w:t>Театрально-режиссёрского факультета</w:t>
      </w:r>
    </w:p>
    <w:p w:rsidR="00130BB9" w:rsidRPr="00130BB9" w:rsidRDefault="00130BB9" w:rsidP="00130BB9">
      <w:pPr>
        <w:jc w:val="right"/>
        <w:rPr>
          <w:bCs/>
        </w:rPr>
      </w:pPr>
      <w:r w:rsidRPr="00130BB9">
        <w:rPr>
          <w:bCs/>
        </w:rPr>
        <w:t>Овчинников Р.Ю.</w:t>
      </w:r>
    </w:p>
    <w:p w:rsidR="00130BB9" w:rsidRPr="00130BB9" w:rsidRDefault="00130BB9" w:rsidP="00130BB9">
      <w:pPr>
        <w:jc w:val="right"/>
        <w:rPr>
          <w:bCs/>
        </w:rPr>
      </w:pPr>
      <w:r w:rsidRPr="00130BB9">
        <w:rPr>
          <w:bCs/>
        </w:rPr>
        <w:t>«__» _________________ 2020г.</w:t>
      </w: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Default="00324B3B" w:rsidP="00130BB9">
      <w:pPr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 w:rsidR="00324B3B" w:rsidRPr="00130BB9" w:rsidRDefault="00324B3B" w:rsidP="00130BB9">
      <w:pPr>
        <w:jc w:val="center"/>
        <w:rPr>
          <w:bCs/>
        </w:rPr>
      </w:pPr>
      <w:r>
        <w:rPr>
          <w:b/>
          <w:bCs/>
        </w:rPr>
        <w:t>ПО ДИСЦИПЛИНЕ</w:t>
      </w:r>
      <w:bookmarkStart w:id="0" w:name="_GoBack"/>
      <w:bookmarkEnd w:id="0"/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/>
          <w:bCs/>
        </w:rPr>
      </w:pPr>
      <w:r w:rsidRPr="00130BB9">
        <w:rPr>
          <w:b/>
          <w:bCs/>
        </w:rPr>
        <w:t>Б</w:t>
      </w:r>
      <w:proofErr w:type="gramStart"/>
      <w:r w:rsidRPr="00130BB9">
        <w:rPr>
          <w:b/>
          <w:bCs/>
        </w:rPr>
        <w:t>1.В.</w:t>
      </w:r>
      <w:proofErr w:type="gramEnd"/>
      <w:r w:rsidRPr="00130BB9">
        <w:rPr>
          <w:b/>
          <w:bCs/>
        </w:rPr>
        <w:t>04 ИСТОРИЯ МУЗЫКИ</w:t>
      </w: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/>
          <w:bCs/>
        </w:rPr>
      </w:pPr>
      <w:r w:rsidRPr="00130BB9">
        <w:rPr>
          <w:b/>
          <w:bCs/>
        </w:rPr>
        <w:t>51.03.05 «Режиссура театрализованных представлений»</w:t>
      </w:r>
    </w:p>
    <w:p w:rsidR="00130BB9" w:rsidRPr="00130BB9" w:rsidRDefault="00130BB9" w:rsidP="00130BB9">
      <w:pPr>
        <w:jc w:val="center"/>
        <w:rPr>
          <w:b/>
          <w:bCs/>
        </w:rPr>
      </w:pPr>
    </w:p>
    <w:p w:rsidR="00130BB9" w:rsidRPr="00130BB9" w:rsidRDefault="00130BB9" w:rsidP="00130BB9">
      <w:pPr>
        <w:jc w:val="center"/>
        <w:rPr>
          <w:b/>
          <w:bCs/>
        </w:rPr>
      </w:pPr>
      <w:r w:rsidRPr="00130BB9">
        <w:rPr>
          <w:b/>
          <w:bCs/>
        </w:rPr>
        <w:t>Режиссер театрализованных представлений и праздников</w:t>
      </w:r>
    </w:p>
    <w:p w:rsidR="00130BB9" w:rsidRPr="00130BB9" w:rsidRDefault="00130BB9" w:rsidP="00130BB9">
      <w:pPr>
        <w:jc w:val="center"/>
        <w:rPr>
          <w:b/>
          <w:bCs/>
        </w:rPr>
      </w:pPr>
    </w:p>
    <w:p w:rsidR="00130BB9" w:rsidRPr="00130BB9" w:rsidRDefault="00130BB9" w:rsidP="00130BB9">
      <w:pPr>
        <w:jc w:val="center"/>
        <w:rPr>
          <w:b/>
          <w:bCs/>
        </w:rPr>
      </w:pPr>
      <w:r w:rsidRPr="00130BB9">
        <w:rPr>
          <w:b/>
          <w:bCs/>
        </w:rPr>
        <w:t>Бакалавр</w:t>
      </w:r>
    </w:p>
    <w:p w:rsidR="00130BB9" w:rsidRPr="00130BB9" w:rsidRDefault="00130BB9" w:rsidP="00130BB9">
      <w:pPr>
        <w:jc w:val="center"/>
        <w:rPr>
          <w:b/>
          <w:bCs/>
        </w:rPr>
      </w:pPr>
    </w:p>
    <w:p w:rsidR="00130BB9" w:rsidRPr="00130BB9" w:rsidRDefault="00130BB9" w:rsidP="00130BB9">
      <w:pPr>
        <w:jc w:val="center"/>
        <w:rPr>
          <w:b/>
          <w:bCs/>
        </w:rPr>
      </w:pPr>
      <w:r w:rsidRPr="00130BB9">
        <w:rPr>
          <w:b/>
          <w:bCs/>
        </w:rPr>
        <w:t>Очная, заочная</w:t>
      </w: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130BB9" w:rsidRPr="00130BB9" w:rsidRDefault="00130BB9" w:rsidP="00130BB9">
      <w:pPr>
        <w:jc w:val="center"/>
        <w:rPr>
          <w:bCs/>
        </w:rPr>
      </w:pPr>
    </w:p>
    <w:p w:rsidR="004A3BBF" w:rsidRPr="00130BB9" w:rsidRDefault="00130BB9" w:rsidP="00130BB9">
      <w:pPr>
        <w:jc w:val="center"/>
        <w:rPr>
          <w:bCs/>
        </w:rPr>
      </w:pPr>
      <w:r w:rsidRPr="00130BB9">
        <w:rPr>
          <w:bCs/>
        </w:rPr>
        <w:lastRenderedPageBreak/>
        <w:t>Химки, 2020 г.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t>Компетенции обучающегося, формируемые в результате освоения дисциплины (модуля):</w:t>
      </w:r>
    </w:p>
    <w:p w:rsidR="00656E72" w:rsidRPr="00656E72" w:rsidRDefault="00656E72" w:rsidP="00656E72">
      <w:pPr>
        <w:widowControl w:val="0"/>
        <w:tabs>
          <w:tab w:val="right" w:leader="underscore" w:pos="8505"/>
        </w:tabs>
        <w:rPr>
          <w:b/>
          <w:bCs/>
          <w:i/>
          <w:sz w:val="28"/>
          <w:szCs w:val="28"/>
        </w:rPr>
      </w:pPr>
      <w:r w:rsidRPr="00656E72">
        <w:rPr>
          <w:b/>
          <w:bCs/>
          <w:sz w:val="28"/>
          <w:szCs w:val="28"/>
        </w:rPr>
        <w:t>УК – 3:</w:t>
      </w:r>
      <w:r w:rsidRPr="00656E72">
        <w:rPr>
          <w:b/>
          <w:bCs/>
          <w:i/>
          <w:sz w:val="28"/>
          <w:szCs w:val="28"/>
        </w:rPr>
        <w:t xml:space="preserve"> </w:t>
      </w:r>
      <w:r w:rsidRPr="00656E72">
        <w:rPr>
          <w:bCs/>
          <w:sz w:val="28"/>
          <w:szCs w:val="28"/>
        </w:rPr>
        <w:t>Способность осуществлять социальное взаимодействие и реализовывать свою роль в команде</w:t>
      </w:r>
    </w:p>
    <w:p w:rsidR="00656E72" w:rsidRPr="00656E72" w:rsidRDefault="00656E72" w:rsidP="00656E72">
      <w:pPr>
        <w:widowControl w:val="0"/>
        <w:tabs>
          <w:tab w:val="right" w:leader="underscore" w:pos="8505"/>
        </w:tabs>
        <w:rPr>
          <w:b/>
          <w:bCs/>
          <w:i/>
          <w:sz w:val="28"/>
          <w:szCs w:val="28"/>
        </w:rPr>
      </w:pPr>
      <w:r w:rsidRPr="00656E72">
        <w:rPr>
          <w:b/>
          <w:bCs/>
          <w:sz w:val="28"/>
          <w:szCs w:val="28"/>
        </w:rPr>
        <w:t>УК – 5:</w:t>
      </w:r>
      <w:r w:rsidRPr="00656E72">
        <w:rPr>
          <w:b/>
          <w:bCs/>
          <w:i/>
          <w:sz w:val="28"/>
          <w:szCs w:val="28"/>
        </w:rPr>
        <w:t xml:space="preserve"> </w:t>
      </w:r>
      <w:r w:rsidRPr="00656E72">
        <w:rPr>
          <w:bCs/>
          <w:sz w:val="28"/>
          <w:szCs w:val="28"/>
        </w:rPr>
        <w:t>Способен воспринимать межкультурное разнообразие общества в социально-историческом, этическом и философском контексте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D444CB" w:rsidRDefault="00D444CB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D444CB">
        <w:rPr>
          <w:rFonts w:eastAsia="Batang"/>
          <w:bCs/>
          <w:iCs/>
          <w:sz w:val="28"/>
          <w:szCs w:val="28"/>
        </w:rPr>
        <w:t xml:space="preserve"> основы и принципы межкультурного взаимодействия в зависимости от социально-исторического, этического и философского контекста развития общества, - многообразие куль 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явлений, - роль науки в развитии цивилизации, взаимодействие науки и техники и связанные с ними современные социальные и этические проблемы</w:t>
      </w:r>
    </w:p>
    <w:p w:rsidR="00656E7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656E7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39414A">
        <w:rPr>
          <w:rFonts w:eastAsia="Batang"/>
          <w:bCs/>
          <w:iCs/>
          <w:sz w:val="28"/>
          <w:szCs w:val="28"/>
        </w:rPr>
        <w:t xml:space="preserve"> определять и применять способы межкультурного взаимодействия в различных социокультурных ситуациях, - применять научную терминологию и основные научные категории гуманитарного знания </w:t>
      </w:r>
    </w:p>
    <w:p w:rsidR="00656E7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656E7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3) Владеть: </w:t>
      </w:r>
      <w:r w:rsidR="008E6A43">
        <w:rPr>
          <w:rFonts w:eastAsia="Batang"/>
          <w:bCs/>
          <w:iCs/>
          <w:sz w:val="28"/>
          <w:szCs w:val="28"/>
        </w:rPr>
        <w:t>навыками применения способов межкультурного взаимодействия в различных социокультурных ситуациях, - навыками самостоятельного анализа и оценки исторических явлений и вклада исторических деятелей в развитие цивилизации</w:t>
      </w:r>
    </w:p>
    <w:p w:rsidR="00656E72" w:rsidRDefault="00656E7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Batang"/>
          <w:b/>
          <w:bCs/>
          <w:sz w:val="32"/>
          <w:szCs w:val="32"/>
        </w:rPr>
      </w:pPr>
      <w:r>
        <w:rPr>
          <w:rFonts w:eastAsia="Batang"/>
          <w:b/>
          <w:bCs/>
          <w:sz w:val="32"/>
          <w:szCs w:val="32"/>
        </w:rPr>
        <w:t>Примерный перечень оценочных средств</w:t>
      </w: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"/>
        <w:gridCol w:w="2763"/>
        <w:gridCol w:w="3085"/>
        <w:gridCol w:w="3240"/>
      </w:tblGrid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№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Наименование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средства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Характеристика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Представление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оценочного средства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spacing w:val="-6"/>
              </w:rPr>
            </w:pPr>
            <w:r>
              <w:rPr>
                <w:rFonts w:eastAsia="Batang"/>
                <w:b/>
                <w:spacing w:val="-6"/>
              </w:rPr>
              <w:t>в ФОС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1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Реферат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spacing w:val="-6"/>
              </w:rPr>
              <w:t>Вид самостоятельной письменной работы, направленный на творческое освоение общепрофессиональных и профильных профессиональных дисциплин (модулей) и выработку соответствующих профессиональных компетенций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Тематика рефератов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2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Семинар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spacing w:val="-6"/>
              </w:rPr>
              <w:t xml:space="preserve">Вид самостоятельной работы, позволяющей </w:t>
            </w:r>
            <w:r>
              <w:rPr>
                <w:rFonts w:eastAsia="Batang"/>
                <w:spacing w:val="-6"/>
              </w:rPr>
              <w:lastRenderedPageBreak/>
              <w:t xml:space="preserve">оценить умение </w:t>
            </w:r>
            <w:r>
              <w:rPr>
                <w:rFonts w:eastAsia="Batang"/>
                <w:color w:val="000000"/>
                <w:spacing w:val="-6"/>
              </w:rPr>
              <w:t xml:space="preserve">аргументированно, логично, и четко излагать основные  положения и выводы 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lastRenderedPageBreak/>
              <w:t>Тематика семинаров</w:t>
            </w:r>
          </w:p>
        </w:tc>
      </w:tr>
      <w:tr w:rsidR="00AA6302" w:rsidTr="00ED494D">
        <w:tc>
          <w:tcPr>
            <w:tcW w:w="452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lastRenderedPageBreak/>
              <w:t>4</w:t>
            </w:r>
          </w:p>
        </w:tc>
        <w:tc>
          <w:tcPr>
            <w:tcW w:w="2763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spacing w:val="-6"/>
              </w:rPr>
            </w:pPr>
            <w:r>
              <w:rPr>
                <w:rFonts w:eastAsia="Batang"/>
                <w:spacing w:val="-6"/>
              </w:rPr>
              <w:t>Зачет, экзамен</w:t>
            </w:r>
          </w:p>
        </w:tc>
        <w:tc>
          <w:tcPr>
            <w:tcW w:w="3085" w:type="dxa"/>
          </w:tcPr>
          <w:p w:rsidR="00AA6302" w:rsidRDefault="00AA6302" w:rsidP="00ED494D">
            <w:pPr>
              <w:widowControl w:val="0"/>
              <w:tabs>
                <w:tab w:val="left" w:pos="360"/>
              </w:tabs>
              <w:jc w:val="both"/>
              <w:rPr>
                <w:rFonts w:eastAsia="Batang"/>
                <w:spacing w:val="-6"/>
                <w:highlight w:val="red"/>
              </w:rPr>
            </w:pPr>
            <w:r>
              <w:rPr>
                <w:rFonts w:eastAsia="Batang"/>
                <w:color w:val="000000"/>
                <w:spacing w:val="-6"/>
              </w:rPr>
              <w:t>Формы периодической отчетности студента, определяемые учебным планом, призванные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</w:t>
            </w:r>
          </w:p>
        </w:tc>
        <w:tc>
          <w:tcPr>
            <w:tcW w:w="3240" w:type="dxa"/>
          </w:tcPr>
          <w:p w:rsidR="00AA6302" w:rsidRDefault="00AA6302" w:rsidP="00ED4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color w:val="000000"/>
                <w:spacing w:val="-6"/>
                <w:lang w:bidi="mr-IN"/>
              </w:rPr>
            </w:pPr>
            <w:r>
              <w:rPr>
                <w:rFonts w:eastAsia="Batang"/>
                <w:color w:val="000000"/>
                <w:spacing w:val="-6"/>
                <w:lang w:bidi="mr-IN"/>
              </w:rPr>
              <w:t>Зачётное-экзаменационные требования</w:t>
            </w:r>
          </w:p>
        </w:tc>
      </w:tr>
    </w:tbl>
    <w:p w:rsidR="00AA6302" w:rsidRDefault="00AA6302" w:rsidP="00AA6302">
      <w:pPr>
        <w:widowControl w:val="0"/>
        <w:jc w:val="both"/>
        <w:rPr>
          <w:rFonts w:eastAsia="Batang"/>
          <w:sz w:val="16"/>
          <w:szCs w:val="16"/>
        </w:rPr>
      </w:pPr>
    </w:p>
    <w:p w:rsidR="00AE24A7" w:rsidRDefault="00AE24A7" w:rsidP="00AA6302">
      <w:pPr>
        <w:widowControl w:val="0"/>
        <w:ind w:firstLine="567"/>
        <w:jc w:val="both"/>
        <w:rPr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Batang"/>
          <w:b/>
          <w:sz w:val="32"/>
          <w:szCs w:val="32"/>
        </w:rPr>
      </w:pPr>
      <w:r>
        <w:rPr>
          <w:rFonts w:eastAsia="Batang"/>
          <w:b/>
          <w:sz w:val="32"/>
          <w:szCs w:val="32"/>
        </w:rPr>
        <w:t>Критерии оценки учебных действий студентов на семинарах</w:t>
      </w:r>
    </w:p>
    <w:p w:rsidR="00AA6302" w:rsidRDefault="00AA6302" w:rsidP="00AA6302">
      <w:pPr>
        <w:widowControl w:val="0"/>
        <w:ind w:firstLine="567"/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840"/>
      </w:tblGrid>
      <w:tr w:rsidR="00AA6302" w:rsidTr="00ED494D">
        <w:trPr>
          <w:trHeight w:val="378"/>
        </w:trPr>
        <w:tc>
          <w:tcPr>
            <w:tcW w:w="270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Оценка</w:t>
            </w:r>
          </w:p>
        </w:tc>
        <w:tc>
          <w:tcPr>
            <w:tcW w:w="68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Характеристики ответа студента</w:t>
            </w:r>
          </w:p>
        </w:tc>
      </w:tr>
      <w:tr w:rsidR="00AA6302" w:rsidTr="00ED494D">
        <w:tc>
          <w:tcPr>
            <w:tcW w:w="270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Отлично</w:t>
            </w:r>
          </w:p>
        </w:tc>
        <w:tc>
          <w:tcPr>
            <w:tcW w:w="68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студент глубоко и всесторонне усвоил тему;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уверенно, логично, последовательно и грамотно отвечает;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опирается на знания основной и дополнительной литературы, тесно связывает усвоенные научные положения с практической деятельностью;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уверенно анализирует текст с использованием требуемых методов;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умело обосновывает и аргументирует выдвигаемые им идеи;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делает выводы и обобщения;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свободно владеет специальной терминологией</w:t>
            </w:r>
          </w:p>
        </w:tc>
      </w:tr>
      <w:tr w:rsidR="00AA6302" w:rsidTr="00ED494D">
        <w:tc>
          <w:tcPr>
            <w:tcW w:w="270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Хорошо</w:t>
            </w:r>
          </w:p>
        </w:tc>
        <w:tc>
          <w:tcPr>
            <w:tcW w:w="68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не допускает существенных неточностей;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увязывает усвоенные знания с практической деятельностью;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аргументирует научные положения;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анализирует текст с использованием требуемых методов;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делает выводы и обобщения;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владеет профессиональной терминологией</w:t>
            </w:r>
          </w:p>
        </w:tc>
      </w:tr>
      <w:tr w:rsidR="00AA6302" w:rsidTr="00ED494D">
        <w:tc>
          <w:tcPr>
            <w:tcW w:w="270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t>Удовлетворительно</w:t>
            </w:r>
          </w:p>
        </w:tc>
        <w:tc>
          <w:tcPr>
            <w:tcW w:w="68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 допускает несущественные ошибки и неточности;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испытывает затруднения в анализе и практическом применении культурологических знаний;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слабо аргументирует научные положения;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затрудняется в формулировании выводов и обобщений;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частично владеет профессиональной терминологией.</w:t>
            </w:r>
          </w:p>
        </w:tc>
      </w:tr>
      <w:tr w:rsidR="00AA6302" w:rsidTr="00ED494D">
        <w:tc>
          <w:tcPr>
            <w:tcW w:w="270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  <w:b/>
                <w:bCs/>
              </w:rPr>
            </w:pPr>
            <w:r>
              <w:rPr>
                <w:rFonts w:eastAsia="Batang"/>
                <w:b/>
                <w:bCs/>
              </w:rPr>
              <w:lastRenderedPageBreak/>
              <w:t>Неудовлетворительно</w:t>
            </w:r>
          </w:p>
        </w:tc>
        <w:tc>
          <w:tcPr>
            <w:tcW w:w="6840" w:type="dxa"/>
          </w:tcPr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студент не усвоил значительной части проблемы;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допускает существенные ошибки и неточности при рассмотрении ее;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испытывает трудности в практическом применении знаний;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не может аргументировать научные положения;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не формулирует выводов и обобщений;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- не владеет профессиональной терминологией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541"/>
      </w:tblGrid>
      <w:tr w:rsidR="00AA6302" w:rsidTr="00ED494D">
        <w:trPr>
          <w:trHeight w:val="328"/>
        </w:trPr>
        <w:tc>
          <w:tcPr>
            <w:tcW w:w="1985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Оценка</w:t>
            </w:r>
          </w:p>
        </w:tc>
        <w:tc>
          <w:tcPr>
            <w:tcW w:w="7541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Критерии оценки</w:t>
            </w:r>
          </w:p>
        </w:tc>
      </w:tr>
      <w:tr w:rsidR="00AA6302" w:rsidTr="00ED494D">
        <w:trPr>
          <w:trHeight w:val="844"/>
        </w:trPr>
        <w:tc>
          <w:tcPr>
            <w:tcW w:w="1985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«отлично»</w:t>
            </w:r>
          </w:p>
        </w:tc>
        <w:tc>
          <w:tcPr>
            <w:tcW w:w="7541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Тема реферата раскрыта полностью, проявлено глубокое знание и понимание материала и его контекста. Студент в полном объеме владеет профессиональной лексикой, методологией и методами своей специальности. Реферат написан самостоятельно на правильном русском языке, соблюдены правила оформления</w:t>
            </w:r>
          </w:p>
        </w:tc>
      </w:tr>
      <w:tr w:rsidR="00AA6302" w:rsidTr="00ED494D">
        <w:tc>
          <w:tcPr>
            <w:tcW w:w="1985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«хорошо»</w:t>
            </w:r>
          </w:p>
        </w:tc>
        <w:tc>
          <w:tcPr>
            <w:tcW w:w="7541" w:type="dxa"/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Тема реферата раскрыта в достаточной мере, проявлено хорошее знание и понимание материала и его контекста. Студент в достаточном, но не полном объеме владеет профессиональной лексикой, пользуется методами своей специальности. Реферат написан самостоятельно, есть незначительные ошибки</w:t>
            </w:r>
          </w:p>
        </w:tc>
      </w:tr>
      <w:tr w:rsidR="00AA6302" w:rsidTr="00130BB9">
        <w:trPr>
          <w:trHeight w:val="1374"/>
        </w:trPr>
        <w:tc>
          <w:tcPr>
            <w:tcW w:w="1985" w:type="dxa"/>
            <w:tcBorders>
              <w:bottom w:val="single" w:sz="4" w:space="0" w:color="auto"/>
            </w:tcBorders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«удовлетворительно»</w:t>
            </w:r>
          </w:p>
        </w:tc>
        <w:tc>
          <w:tcPr>
            <w:tcW w:w="7541" w:type="dxa"/>
            <w:tcBorders>
              <w:bottom w:val="single" w:sz="4" w:space="0" w:color="auto"/>
            </w:tcBorders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Тема реферата не раскрыта в достаточной мере, проявлено частичное знание материала. Студент плохо владеет профессиональной лексикой, имеет представление о методах своей специальности, но не умеет ими пользоваться. Реферат выполнен на приемлемом уровне, достаточно много ошибок</w:t>
            </w:r>
          </w:p>
        </w:tc>
      </w:tr>
      <w:tr w:rsidR="00AA6302" w:rsidTr="00130BB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«неудовлетворительно»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02" w:rsidRDefault="00AA6302" w:rsidP="00ED494D">
            <w:pPr>
              <w:widowControl w:val="0"/>
              <w:ind w:firstLine="34"/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Тема реферата не раскрыта. Знание материала отсутствует. Реферат является копией чужой работы.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Рекомендации по самостоятельной работе студентов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sz w:val="16"/>
          <w:szCs w:val="16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Критерии оценки результатов внеаудиторной</w:t>
      </w:r>
    </w:p>
    <w:p w:rsidR="00AA6302" w:rsidRDefault="00AA6302" w:rsidP="00AA6302">
      <w:pPr>
        <w:widowControl w:val="0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самостоятельной работы студентов</w:t>
      </w:r>
    </w:p>
    <w:p w:rsidR="00AA6302" w:rsidRDefault="00AA6302" w:rsidP="00130BB9">
      <w:pPr>
        <w:widowControl w:val="0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130BB9">
      <w:pPr>
        <w:widowControl w:val="0"/>
        <w:jc w:val="both"/>
        <w:rPr>
          <w:rFonts w:eastAsia="Calibri"/>
          <w:sz w:val="16"/>
          <w:szCs w:val="16"/>
          <w:lang w:eastAsia="en-US"/>
        </w:rPr>
      </w:pPr>
    </w:p>
    <w:p w:rsidR="00AA6302" w:rsidRDefault="00AA6302" w:rsidP="00AA6302">
      <w:pPr>
        <w:widowControl w:val="0"/>
        <w:tabs>
          <w:tab w:val="left" w:pos="0"/>
        </w:tabs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6"/>
        <w:gridCol w:w="6595"/>
      </w:tblGrid>
      <w:tr w:rsidR="00AA6302" w:rsidTr="00ED494D">
        <w:tc>
          <w:tcPr>
            <w:tcW w:w="2936" w:type="dxa"/>
            <w:vAlign w:val="center"/>
          </w:tcPr>
          <w:p w:rsidR="00AA6302" w:rsidRDefault="00AA6302" w:rsidP="00ED494D">
            <w:pPr>
              <w:widowControl w:val="0"/>
              <w:tabs>
                <w:tab w:val="left" w:pos="0"/>
              </w:tabs>
              <w:jc w:val="center"/>
              <w:rPr>
                <w:rFonts w:eastAsia="Batang"/>
                <w:b/>
                <w:sz w:val="28"/>
                <w:szCs w:val="28"/>
                <w:lang w:eastAsia="en-US"/>
              </w:rPr>
            </w:pPr>
            <w:r>
              <w:rPr>
                <w:rFonts w:eastAsia="Batang"/>
                <w:b/>
                <w:sz w:val="28"/>
                <w:szCs w:val="28"/>
                <w:lang w:eastAsia="en-US"/>
              </w:rPr>
              <w:t>Критерии</w:t>
            </w:r>
          </w:p>
        </w:tc>
        <w:tc>
          <w:tcPr>
            <w:tcW w:w="6595" w:type="dxa"/>
            <w:vAlign w:val="center"/>
          </w:tcPr>
          <w:p w:rsidR="00AA6302" w:rsidRDefault="00AA6302" w:rsidP="00ED494D">
            <w:pPr>
              <w:widowControl w:val="0"/>
              <w:tabs>
                <w:tab w:val="left" w:pos="0"/>
              </w:tabs>
              <w:jc w:val="center"/>
              <w:rPr>
                <w:rFonts w:eastAsia="Batang"/>
                <w:b/>
                <w:sz w:val="28"/>
                <w:szCs w:val="28"/>
                <w:lang w:eastAsia="en-US"/>
              </w:rPr>
            </w:pPr>
            <w:r>
              <w:rPr>
                <w:rFonts w:eastAsia="Batang"/>
                <w:b/>
                <w:sz w:val="28"/>
                <w:szCs w:val="28"/>
                <w:lang w:eastAsia="en-US"/>
              </w:rPr>
              <w:t>Показатели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Усвоение программного теоретического материала</w:t>
            </w: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дает аргументированный, логически выстроенный, полный ответ по вопросу,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полное понимание материала, выводы доказательны, приводит примеры, дополнительные вопросы не требуются;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знание основной и дополнительной литературы и источников по вопросу;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корректно использует  профессиональную терминологию;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владеет умением устанавливать </w:t>
            </w:r>
            <w:proofErr w:type="spellStart"/>
            <w:r>
              <w:rPr>
                <w:rFonts w:eastAsia="Calibri"/>
                <w:lang w:eastAsia="en-US"/>
              </w:rPr>
              <w:t>межпредметные</w:t>
            </w:r>
            <w:proofErr w:type="spellEnd"/>
            <w:r>
              <w:rPr>
                <w:rFonts w:eastAsia="Calibri"/>
                <w:lang w:eastAsia="en-US"/>
              </w:rPr>
              <w:t xml:space="preserve"> и </w:t>
            </w:r>
            <w:proofErr w:type="spellStart"/>
            <w:r>
              <w:rPr>
                <w:rFonts w:eastAsia="Calibri"/>
                <w:lang w:eastAsia="en-US"/>
              </w:rPr>
              <w:t>внутрипредметные</w:t>
            </w:r>
            <w:proofErr w:type="spellEnd"/>
            <w:r>
              <w:rPr>
                <w:rFonts w:eastAsia="Calibri"/>
                <w:lang w:eastAsia="en-US"/>
              </w:rPr>
              <w:t xml:space="preserve"> связи между событиями, объектами и явлениями;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 демонстрирует способность к анализу и сопоставлению различных подходов к решению заявленной в билете проблематики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Умение применять теоретические знания на практике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в ответе опирается на результаты наблюдений и опытов при необходимости, в зависимости от условия учебной задачи;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при ответе владение сформированными навыками работы с пособиями и другими средствами;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показывает владение методологией дисциплины, умение выполнять типовые задания и задачи, предусмотренные программой;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демонстрирует способность творчески применять знание теории к решению профессиональных практических задач</w:t>
            </w:r>
          </w:p>
        </w:tc>
      </w:tr>
      <w:tr w:rsidR="00AA6302" w:rsidTr="00ED494D">
        <w:tc>
          <w:tcPr>
            <w:tcW w:w="2936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Умение излагать программный материал доступным научным языком</w:t>
            </w:r>
          </w:p>
        </w:tc>
        <w:tc>
          <w:tcPr>
            <w:tcW w:w="6595" w:type="dxa"/>
          </w:tcPr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-обоснованно и безошибочно излагает тематический материал, соблюдая последовательность его изложения, используя четкие и однозначные формулировки;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строит логически связанный ответ, используя принятую научную терминологию;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-делает обоснованные выводы;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-излагает тематический материал литературным языком; 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отвечает на дополнительные вопросы преподавателя;</w:t>
            </w:r>
          </w:p>
          <w:p w:rsidR="00AA6302" w:rsidRDefault="00AA6302" w:rsidP="00ED494D">
            <w:pPr>
              <w:widowControl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-применяет в процессе ответа для демонстрации состояния объектов, протекания явлений общепринятую в науке знаково-символьную систему условных обозначений </w:t>
            </w:r>
          </w:p>
        </w:tc>
      </w:tr>
    </w:tbl>
    <w:p w:rsidR="00AA6302" w:rsidRDefault="00AA6302" w:rsidP="00AA6302">
      <w:pPr>
        <w:widowControl w:val="0"/>
        <w:ind w:firstLine="567"/>
        <w:jc w:val="both"/>
        <w:rPr>
          <w:b/>
          <w:b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b/>
          <w:bCs/>
          <w:sz w:val="28"/>
          <w:szCs w:val="28"/>
        </w:rPr>
      </w:pPr>
    </w:p>
    <w:p w:rsidR="00AA6302" w:rsidRPr="00524DEB" w:rsidRDefault="00AA6302" w:rsidP="00524DEB">
      <w:pPr>
        <w:spacing w:line="276" w:lineRule="auto"/>
        <w:jc w:val="center"/>
        <w:rPr>
          <w:b/>
        </w:rPr>
      </w:pPr>
    </w:p>
    <w:sectPr w:rsidR="00AA6302" w:rsidRPr="00524DE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9007"/>
        </w:tabs>
        <w:ind w:left="900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9727"/>
        </w:tabs>
        <w:ind w:left="9727" w:hanging="360"/>
      </w:pPr>
    </w:lvl>
    <w:lvl w:ilvl="2">
      <w:start w:val="1"/>
      <w:numFmt w:val="lowerRoman"/>
      <w:lvlText w:val="%3."/>
      <w:lvlJc w:val="right"/>
      <w:pPr>
        <w:tabs>
          <w:tab w:val="num" w:pos="10447"/>
        </w:tabs>
        <w:ind w:left="10447" w:hanging="180"/>
      </w:pPr>
    </w:lvl>
    <w:lvl w:ilvl="3">
      <w:start w:val="1"/>
      <w:numFmt w:val="decimal"/>
      <w:lvlText w:val="%4."/>
      <w:lvlJc w:val="left"/>
      <w:pPr>
        <w:tabs>
          <w:tab w:val="num" w:pos="11167"/>
        </w:tabs>
        <w:ind w:left="11167" w:hanging="360"/>
      </w:pPr>
    </w:lvl>
    <w:lvl w:ilvl="4">
      <w:start w:val="1"/>
      <w:numFmt w:val="lowerLetter"/>
      <w:lvlText w:val="%5."/>
      <w:lvlJc w:val="left"/>
      <w:pPr>
        <w:tabs>
          <w:tab w:val="num" w:pos="11887"/>
        </w:tabs>
        <w:ind w:left="11887" w:hanging="360"/>
      </w:pPr>
    </w:lvl>
    <w:lvl w:ilvl="5">
      <w:start w:val="1"/>
      <w:numFmt w:val="lowerRoman"/>
      <w:lvlText w:val="%6."/>
      <w:lvlJc w:val="right"/>
      <w:pPr>
        <w:tabs>
          <w:tab w:val="num" w:pos="12607"/>
        </w:tabs>
        <w:ind w:left="12607" w:hanging="180"/>
      </w:pPr>
    </w:lvl>
    <w:lvl w:ilvl="6">
      <w:start w:val="1"/>
      <w:numFmt w:val="decimal"/>
      <w:lvlText w:val="%7."/>
      <w:lvlJc w:val="left"/>
      <w:pPr>
        <w:tabs>
          <w:tab w:val="num" w:pos="13327"/>
        </w:tabs>
        <w:ind w:left="13327" w:hanging="360"/>
      </w:pPr>
    </w:lvl>
    <w:lvl w:ilvl="7">
      <w:start w:val="1"/>
      <w:numFmt w:val="lowerLetter"/>
      <w:lvlText w:val="%8."/>
      <w:lvlJc w:val="left"/>
      <w:pPr>
        <w:tabs>
          <w:tab w:val="num" w:pos="14047"/>
        </w:tabs>
        <w:ind w:left="14047" w:hanging="360"/>
      </w:pPr>
    </w:lvl>
    <w:lvl w:ilvl="8">
      <w:start w:val="1"/>
      <w:numFmt w:val="lowerRoman"/>
      <w:lvlText w:val="%9."/>
      <w:lvlJc w:val="right"/>
      <w:pPr>
        <w:tabs>
          <w:tab w:val="num" w:pos="14767"/>
        </w:tabs>
        <w:ind w:left="14767" w:hanging="180"/>
      </w:pPr>
    </w:lvl>
  </w:abstractNum>
  <w:abstractNum w:abstractNumId="15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84D8C"/>
    <w:rsid w:val="00092FE2"/>
    <w:rsid w:val="000B5287"/>
    <w:rsid w:val="00130BB9"/>
    <w:rsid w:val="00190547"/>
    <w:rsid w:val="00194E8F"/>
    <w:rsid w:val="001956A8"/>
    <w:rsid w:val="001A09EF"/>
    <w:rsid w:val="001A32E2"/>
    <w:rsid w:val="001C430C"/>
    <w:rsid w:val="001D4C02"/>
    <w:rsid w:val="001E7394"/>
    <w:rsid w:val="001F643B"/>
    <w:rsid w:val="0025422C"/>
    <w:rsid w:val="0027768B"/>
    <w:rsid w:val="0029357B"/>
    <w:rsid w:val="002A6230"/>
    <w:rsid w:val="002D3315"/>
    <w:rsid w:val="00324B3B"/>
    <w:rsid w:val="0039414A"/>
    <w:rsid w:val="003A7757"/>
    <w:rsid w:val="00431A9C"/>
    <w:rsid w:val="00457CCC"/>
    <w:rsid w:val="0048152E"/>
    <w:rsid w:val="004A3BBF"/>
    <w:rsid w:val="004B197B"/>
    <w:rsid w:val="004B220F"/>
    <w:rsid w:val="004C089A"/>
    <w:rsid w:val="004C26F8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56E72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8E6A43"/>
    <w:rsid w:val="009355E8"/>
    <w:rsid w:val="00955BA1"/>
    <w:rsid w:val="009672D8"/>
    <w:rsid w:val="00987481"/>
    <w:rsid w:val="0099603D"/>
    <w:rsid w:val="009F63E5"/>
    <w:rsid w:val="00A503C1"/>
    <w:rsid w:val="00A557EA"/>
    <w:rsid w:val="00A6109F"/>
    <w:rsid w:val="00A6565D"/>
    <w:rsid w:val="00A75B5A"/>
    <w:rsid w:val="00A8387D"/>
    <w:rsid w:val="00A9262D"/>
    <w:rsid w:val="00A9397D"/>
    <w:rsid w:val="00AA6302"/>
    <w:rsid w:val="00AB368C"/>
    <w:rsid w:val="00AB5118"/>
    <w:rsid w:val="00AB5884"/>
    <w:rsid w:val="00AE24A7"/>
    <w:rsid w:val="00AE76D1"/>
    <w:rsid w:val="00B54812"/>
    <w:rsid w:val="00B57881"/>
    <w:rsid w:val="00C87539"/>
    <w:rsid w:val="00CB384D"/>
    <w:rsid w:val="00CC04D5"/>
    <w:rsid w:val="00D10C1D"/>
    <w:rsid w:val="00D27F64"/>
    <w:rsid w:val="00D444CB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F1F405"/>
  <w15:docId w15:val="{AA03D4FB-90E5-4420-B9D4-6D026DC88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15</cp:revision>
  <cp:lastPrinted>2016-01-11T11:06:00Z</cp:lastPrinted>
  <dcterms:created xsi:type="dcterms:W3CDTF">2019-04-19T09:28:00Z</dcterms:created>
  <dcterms:modified xsi:type="dcterms:W3CDTF">2021-06-21T10:25:00Z</dcterms:modified>
</cp:coreProperties>
</file>